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C" w:rsidRDefault="005E5463">
      <w:pPr>
        <w:contextualSpacing w:val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3D Printing 7/9 CTF</w:t>
      </w:r>
    </w:p>
    <w:p w:rsidR="009C4FBC" w:rsidRDefault="009C4FBC">
      <w:pPr>
        <w:contextualSpacing w:val="0"/>
        <w:jc w:val="center"/>
        <w:rPr>
          <w:sz w:val="28"/>
          <w:szCs w:val="28"/>
        </w:rPr>
      </w:pPr>
    </w:p>
    <w:p w:rsidR="009C4FBC" w:rsidRDefault="005E5463">
      <w:pPr>
        <w:contextualSpacing w:val="0"/>
        <w:rPr>
          <w:sz w:val="28"/>
          <w:szCs w:val="28"/>
        </w:rPr>
      </w:pPr>
      <w:r>
        <w:rPr>
          <w:sz w:val="24"/>
          <w:szCs w:val="24"/>
        </w:rPr>
        <w:t>Alberta Education has outlined 14 competency focused learning outcomes for CTF courses as listed below (which has been pulled directly from the Alberta Education website).</w:t>
      </w:r>
    </w:p>
    <w:p w:rsidR="009C4FBC" w:rsidRDefault="005E5463">
      <w:pPr>
        <w:contextualSpacing w:val="0"/>
        <w:rPr>
          <w:sz w:val="28"/>
          <w:szCs w:val="28"/>
        </w:rPr>
      </w:pPr>
      <w:r>
        <w:rPr>
          <w:noProof/>
          <w:sz w:val="24"/>
          <w:szCs w:val="24"/>
          <w:lang w:val="en-CA"/>
        </w:rPr>
        <w:drawing>
          <wp:inline distT="114300" distB="114300" distL="114300" distR="114300">
            <wp:extent cx="5943600" cy="372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C4FBC" w:rsidRDefault="005E5463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The aim for 3D Printing 7/9 CTF is to hit on the following competencies: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explore my interests and passions while making personal connections to career possibilities.  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use occupational area skills, knowledge and technologies. 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follow safety requireme</w:t>
      </w:r>
      <w:r>
        <w:rPr>
          <w:sz w:val="28"/>
          <w:szCs w:val="28"/>
        </w:rPr>
        <w:t>nts associated with occupational areas and related tech.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plan in response to challenges.  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make decisions in response to challenges.  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adapt to change and unexpected events.  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 solve problems in response to challenges.  </w:t>
      </w:r>
    </w:p>
    <w:p w:rsidR="009C4FBC" w:rsidRDefault="005E546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create products, performan</w:t>
      </w:r>
      <w:r>
        <w:rPr>
          <w:sz w:val="28"/>
          <w:szCs w:val="28"/>
        </w:rPr>
        <w:t>ces or services in response to challenges.</w:t>
      </w:r>
    </w:p>
    <w:p w:rsidR="009C4FBC" w:rsidRDefault="005E5463">
      <w:pPr>
        <w:ind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3D Printing is an emergent field. In recent years its technology has become more and more affordable opening it up to new uses in manufacturing, medicine, and art to name a few. Computer Assisted Design has gone h</w:t>
      </w:r>
      <w:r>
        <w:rPr>
          <w:sz w:val="28"/>
          <w:szCs w:val="28"/>
        </w:rPr>
        <w:t xml:space="preserve">and in hand with this new tech, CAD’s applications have even further applications in the future, especially within the industries of manufacturing, </w:t>
      </w:r>
      <w:proofErr w:type="spellStart"/>
      <w:r>
        <w:rPr>
          <w:sz w:val="28"/>
          <w:szCs w:val="28"/>
        </w:rPr>
        <w:t>automotives</w:t>
      </w:r>
      <w:proofErr w:type="spellEnd"/>
      <w:r>
        <w:rPr>
          <w:sz w:val="28"/>
          <w:szCs w:val="28"/>
        </w:rPr>
        <w:t xml:space="preserve"> and agriculture. Where CAD files are used to run machinery like plasma cutters, water cutters, a</w:t>
      </w:r>
      <w:r>
        <w:rPr>
          <w:sz w:val="28"/>
          <w:szCs w:val="28"/>
        </w:rPr>
        <w:t xml:space="preserve">uto parts manuals, and Global Positioning Systems. </w:t>
      </w:r>
    </w:p>
    <w:p w:rsidR="009C4FBC" w:rsidRDefault="005E5463">
      <w:pPr>
        <w:ind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Because of the above reasons, it is good to explore the basics of CAD programming. To do this 3D Printing will use a CAD program called </w:t>
      </w:r>
      <w:proofErr w:type="spellStart"/>
      <w:r>
        <w:rPr>
          <w:sz w:val="28"/>
          <w:szCs w:val="28"/>
        </w:rPr>
        <w:t>TinkerCAD</w:t>
      </w:r>
      <w:proofErr w:type="spellEnd"/>
      <w:r>
        <w:rPr>
          <w:sz w:val="28"/>
          <w:szCs w:val="28"/>
        </w:rPr>
        <w:t>, to model various projects. Several of these projects will</w:t>
      </w:r>
      <w:r>
        <w:rPr>
          <w:sz w:val="28"/>
          <w:szCs w:val="28"/>
        </w:rPr>
        <w:t xml:space="preserve"> be printed using the 3D printers to bring to reality the students creations.</w:t>
      </w:r>
    </w:p>
    <w:p w:rsidR="009C4FBC" w:rsidRDefault="009C4FBC">
      <w:pPr>
        <w:ind w:firstLine="720"/>
        <w:contextualSpacing w:val="0"/>
        <w:rPr>
          <w:sz w:val="28"/>
          <w:szCs w:val="28"/>
        </w:rPr>
      </w:pPr>
    </w:p>
    <w:p w:rsidR="009C4FBC" w:rsidRDefault="005E5463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Below is a list of CAD projects that will be completed in class:</w:t>
      </w:r>
    </w:p>
    <w:p w:rsidR="009C4FBC" w:rsidRDefault="009C4FBC">
      <w:pPr>
        <w:contextualSpacing w:val="0"/>
        <w:rPr>
          <w:sz w:val="28"/>
          <w:szCs w:val="28"/>
        </w:rPr>
      </w:pPr>
    </w:p>
    <w:p w:rsidR="009C4FBC" w:rsidRDefault="005E54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Translating Household objects to Virtual Space</w:t>
      </w:r>
    </w:p>
    <w:p w:rsidR="009C4FBC" w:rsidRDefault="005E54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Scaling buildings down to a printable model size</w:t>
      </w:r>
    </w:p>
    <w:p w:rsidR="009C4FBC" w:rsidRDefault="005E54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Playgrounds</w:t>
      </w:r>
    </w:p>
    <w:p w:rsidR="009C4FBC" w:rsidRDefault="005E54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3d </w:t>
      </w:r>
      <w:r>
        <w:rPr>
          <w:sz w:val="28"/>
          <w:szCs w:val="28"/>
        </w:rPr>
        <w:t>Snowflakes</w:t>
      </w:r>
    </w:p>
    <w:p w:rsidR="009C4FBC" w:rsidRDefault="005E54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Design a Wallet tool</w:t>
      </w:r>
    </w:p>
    <w:p w:rsidR="009C4FBC" w:rsidRDefault="005E54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Creating an object in Lego form</w:t>
      </w:r>
    </w:p>
    <w:p w:rsidR="009C4FBC" w:rsidRDefault="005E546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Modeling a room in Virtual space</w:t>
      </w:r>
    </w:p>
    <w:p w:rsidR="009C4FBC" w:rsidRDefault="009C4FBC">
      <w:pPr>
        <w:ind w:left="720"/>
        <w:contextualSpacing w:val="0"/>
        <w:rPr>
          <w:sz w:val="28"/>
          <w:szCs w:val="28"/>
        </w:rPr>
      </w:pPr>
    </w:p>
    <w:p w:rsidR="009C4FBC" w:rsidRDefault="005E5463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Class Expectations</w:t>
      </w:r>
    </w:p>
    <w:p w:rsidR="009C4FBC" w:rsidRDefault="005E54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attentive, and focused on assignment or film</w:t>
      </w:r>
    </w:p>
    <w:p w:rsidR="009C4FBC" w:rsidRDefault="005E54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Come to class prepared with a pencil, and workbook </w:t>
      </w:r>
    </w:p>
    <w:p w:rsidR="009C4FBC" w:rsidRDefault="005E54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Clean up after yourself</w:t>
      </w:r>
    </w:p>
    <w:p w:rsidR="009C4FBC" w:rsidRDefault="005E546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Keep the volume down when working upon assignments</w:t>
      </w:r>
    </w:p>
    <w:p w:rsidR="009C4FBC" w:rsidRDefault="009C4FBC">
      <w:pPr>
        <w:ind w:left="720"/>
        <w:contextualSpacing w:val="0"/>
        <w:rPr>
          <w:sz w:val="28"/>
          <w:szCs w:val="28"/>
        </w:rPr>
      </w:pPr>
    </w:p>
    <w:p w:rsidR="009C4FBC" w:rsidRDefault="009C4FBC">
      <w:pPr>
        <w:ind w:left="720"/>
        <w:contextualSpacing w:val="0"/>
        <w:rPr>
          <w:sz w:val="28"/>
          <w:szCs w:val="28"/>
        </w:rPr>
      </w:pPr>
    </w:p>
    <w:p w:rsidR="009C4FBC" w:rsidRDefault="009C4FBC">
      <w:pPr>
        <w:ind w:left="720"/>
        <w:contextualSpacing w:val="0"/>
        <w:rPr>
          <w:sz w:val="28"/>
          <w:szCs w:val="28"/>
        </w:rPr>
      </w:pPr>
    </w:p>
    <w:p w:rsidR="009C4FBC" w:rsidRDefault="009C4FBC">
      <w:pPr>
        <w:ind w:left="720"/>
        <w:contextualSpacing w:val="0"/>
        <w:rPr>
          <w:sz w:val="28"/>
          <w:szCs w:val="28"/>
        </w:rPr>
      </w:pPr>
    </w:p>
    <w:p w:rsidR="009C4FBC" w:rsidRDefault="009C4FBC">
      <w:pPr>
        <w:contextualSpacing w:val="0"/>
        <w:rPr>
          <w:sz w:val="28"/>
          <w:szCs w:val="28"/>
        </w:rPr>
      </w:pPr>
    </w:p>
    <w:p w:rsidR="009C4FBC" w:rsidRDefault="005E5463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NOTE ON CTF ASSESSMENT PRACTICES:</w:t>
      </w:r>
    </w:p>
    <w:p w:rsidR="009C4FBC" w:rsidRDefault="005E5463">
      <w:pPr>
        <w:spacing w:after="20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  <w:sectPr w:rsidR="009C4FBC">
          <w:headerReference w:type="default" r:id="rId8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The assessment plan supports the understanding that not all students learn the same way and at the same pace. The assessment practices serve a number of purposes, including: 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assess student achievement of learning outcomes 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provide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behaviour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descriptors 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personalize assessment 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differentiate instruction 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plan effective learning activities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determine a student’s background knowledge and skills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identify student strengths</w:t>
      </w:r>
    </w:p>
    <w:p w:rsidR="009C4FBC" w:rsidRDefault="005E546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C4FBC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determine a student’s next learning steps</w:t>
      </w:r>
    </w:p>
    <w:p w:rsidR="009C4FBC" w:rsidRDefault="009C4FBC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15"/>
      </w:tblGrid>
      <w:tr w:rsidR="009C4FB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FBC" w:rsidRDefault="005E546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9C4FBC" w:rsidRDefault="005E546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9C4FB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FBC" w:rsidRDefault="005E546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9C4FBC" w:rsidRDefault="005E546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in-depth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independent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9C4FB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FBC" w:rsidRDefault="005E546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9C4FBC" w:rsidRDefault="005E546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occasionally guided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9C4FB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FBC" w:rsidRDefault="005E546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Satisfactory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9C4FBC" w:rsidRDefault="005E546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Acceptable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performance of outcome(s); evidence shows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generally accurate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guided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habits.</w:t>
            </w:r>
          </w:p>
        </w:tc>
      </w:tr>
      <w:tr w:rsidR="009C4FB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FBC" w:rsidRDefault="005E546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Limited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9C4FBC" w:rsidRDefault="005E546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outcomes; evidence shows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inaccurate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understanding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ongoing support is needed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work.</w:t>
            </w:r>
          </w:p>
        </w:tc>
      </w:tr>
      <w:tr w:rsidR="009C4FBC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4FBC" w:rsidRDefault="005E5463">
            <w:pPr>
              <w:widowControl w:val="0"/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Insufficient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40" w:type="dxa"/>
              <w:left w:w="100" w:type="dxa"/>
              <w:bottom w:w="140" w:type="dxa"/>
              <w:right w:w="100" w:type="dxa"/>
            </w:tcMar>
          </w:tcPr>
          <w:p w:rsidR="009C4FBC" w:rsidRDefault="005E5463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Insufficient evidence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show the student has 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acceptable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performance of the outcome(s).  The work must be improved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resubmitted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4FBC" w:rsidRDefault="009C4FBC">
      <w:pPr>
        <w:contextualSpacing w:val="0"/>
        <w:rPr>
          <w:rFonts w:ascii="Times New Roman" w:eastAsia="Times New Roman" w:hAnsi="Times New Roman" w:cs="Times New Roman"/>
        </w:rPr>
      </w:pPr>
    </w:p>
    <w:p w:rsidR="009C4FBC" w:rsidRDefault="005E5463">
      <w:pPr>
        <w:spacing w:after="200"/>
        <w:contextualSpacing w:val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4FBC" w:rsidRDefault="009C4FBC">
      <w:pPr>
        <w:contextualSpacing w:val="0"/>
        <w:rPr>
          <w:sz w:val="28"/>
          <w:szCs w:val="28"/>
        </w:rPr>
      </w:pPr>
    </w:p>
    <w:sectPr w:rsidR="009C4FBC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63" w:rsidRDefault="005E5463">
      <w:pPr>
        <w:spacing w:line="240" w:lineRule="auto"/>
      </w:pPr>
      <w:r>
        <w:separator/>
      </w:r>
    </w:p>
  </w:endnote>
  <w:endnote w:type="continuationSeparator" w:id="0">
    <w:p w:rsidR="005E5463" w:rsidRDefault="005E5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63" w:rsidRDefault="005E5463">
      <w:pPr>
        <w:spacing w:line="240" w:lineRule="auto"/>
      </w:pPr>
      <w:r>
        <w:separator/>
      </w:r>
    </w:p>
  </w:footnote>
  <w:footnote w:type="continuationSeparator" w:id="0">
    <w:p w:rsidR="005E5463" w:rsidRDefault="005E54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C" w:rsidRDefault="009C4FBC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CD2"/>
    <w:multiLevelType w:val="multilevel"/>
    <w:tmpl w:val="FC68DF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EC5046"/>
    <w:multiLevelType w:val="multilevel"/>
    <w:tmpl w:val="96DC0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BA1A5F"/>
    <w:multiLevelType w:val="multilevel"/>
    <w:tmpl w:val="CB4230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4F0F5F"/>
    <w:multiLevelType w:val="multilevel"/>
    <w:tmpl w:val="E96ED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BC"/>
    <w:rsid w:val="00494869"/>
    <w:rsid w:val="005E5463"/>
    <w:rsid w:val="009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7443B-1ECB-409B-B11C-5817320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Erickson</dc:creator>
  <cp:lastModifiedBy>Dale Erickson</cp:lastModifiedBy>
  <cp:revision>2</cp:revision>
  <dcterms:created xsi:type="dcterms:W3CDTF">2018-11-19T20:33:00Z</dcterms:created>
  <dcterms:modified xsi:type="dcterms:W3CDTF">2018-11-19T20:33:00Z</dcterms:modified>
</cp:coreProperties>
</file>