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A" w:rsidRDefault="00E60DD9">
      <w:pPr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Film Critic 8/9 CTF</w:t>
      </w:r>
    </w:p>
    <w:p w:rsidR="008A4B6A" w:rsidRDefault="008A4B6A">
      <w:pPr>
        <w:contextualSpacing w:val="0"/>
        <w:jc w:val="center"/>
        <w:rPr>
          <w:sz w:val="28"/>
          <w:szCs w:val="28"/>
        </w:rPr>
      </w:pPr>
    </w:p>
    <w:p w:rsidR="008A4B6A" w:rsidRDefault="00E60DD9">
      <w:pPr>
        <w:contextualSpacing w:val="0"/>
        <w:rPr>
          <w:sz w:val="28"/>
          <w:szCs w:val="28"/>
        </w:rPr>
      </w:pPr>
      <w:r>
        <w:rPr>
          <w:sz w:val="24"/>
          <w:szCs w:val="24"/>
        </w:rPr>
        <w:t>Alberta Education has outlined 14 competency focused learning outcomes for CTF courses as listed below (which has been pulled directly from the Alberta Education website).</w:t>
      </w:r>
    </w:p>
    <w:p w:rsidR="008A4B6A" w:rsidRDefault="00E60DD9">
      <w:pPr>
        <w:contextualSpacing w:val="0"/>
        <w:rPr>
          <w:sz w:val="28"/>
          <w:szCs w:val="28"/>
        </w:rPr>
      </w:pPr>
      <w:r>
        <w:rPr>
          <w:noProof/>
          <w:sz w:val="24"/>
          <w:szCs w:val="24"/>
          <w:lang w:val="en-CA"/>
        </w:rPr>
        <w:drawing>
          <wp:inline distT="114300" distB="114300" distL="114300" distR="114300">
            <wp:extent cx="5943600" cy="372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4B6A" w:rsidRDefault="008A4B6A">
      <w:pPr>
        <w:contextualSpacing w:val="0"/>
        <w:rPr>
          <w:sz w:val="28"/>
          <w:szCs w:val="28"/>
        </w:rPr>
      </w:pPr>
    </w:p>
    <w:p w:rsidR="008A4B6A" w:rsidRDefault="00E60DD9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The aim for Film Critic 8/9 CTF is to hit on the following competencies: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explore my interests and passions while making personal connections to career possibilities.  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use occupational area skills, knowledge and technologies. 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plan in response to cha</w:t>
      </w:r>
      <w:r>
        <w:rPr>
          <w:sz w:val="28"/>
          <w:szCs w:val="28"/>
        </w:rPr>
        <w:t xml:space="preserve">llenges.  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make decisions in response to challenges.  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adapt to change and unexpected events.  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solve problems in response to challenges.  </w:t>
      </w:r>
    </w:p>
    <w:p w:rsidR="008A4B6A" w:rsidRDefault="00E60D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create products, performances or services in response to challenges.</w:t>
      </w:r>
    </w:p>
    <w:p w:rsidR="008A4B6A" w:rsidRDefault="008A4B6A">
      <w:pPr>
        <w:ind w:firstLine="720"/>
        <w:contextualSpacing w:val="0"/>
        <w:rPr>
          <w:sz w:val="28"/>
          <w:szCs w:val="28"/>
        </w:rPr>
      </w:pPr>
    </w:p>
    <w:p w:rsidR="008A4B6A" w:rsidRDefault="00E60DD9">
      <w:pPr>
        <w:ind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Film Critic 8/9 is an exploration of f</w:t>
      </w:r>
      <w:r>
        <w:rPr>
          <w:sz w:val="28"/>
          <w:szCs w:val="28"/>
        </w:rPr>
        <w:t>ilmography and the messages that can be found within popular media. As a culture we find ourselves constantly bombarded by media, which always has some form of message embedded within it. Since we find ourselves surrounded by this, weather it is a fast foo</w:t>
      </w:r>
      <w:r>
        <w:rPr>
          <w:sz w:val="28"/>
          <w:szCs w:val="28"/>
        </w:rPr>
        <w:t xml:space="preserve">d ad or “Fake News,” we must be prepared to understand the messages that are being told to us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>. The topics and skills that students will explore within Film Critic can be applied to such diverse media as music, social media, movies, television, and</w:t>
      </w:r>
      <w:r>
        <w:rPr>
          <w:sz w:val="28"/>
          <w:szCs w:val="28"/>
        </w:rPr>
        <w:t xml:space="preserve"> advertising. In this class we will learn filmography techniques, and how they are used to manipulate emotion, and the class will then apply this knowledge by watching 4 films with various themes. Upon watching a film there will be an assignment based upon</w:t>
      </w:r>
      <w:r>
        <w:rPr>
          <w:sz w:val="28"/>
          <w:szCs w:val="28"/>
        </w:rPr>
        <w:t xml:space="preserve"> each film and theme.</w:t>
      </w:r>
    </w:p>
    <w:p w:rsidR="008A4B6A" w:rsidRDefault="00E60DD9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Below is a list of examples of filmography techniques that will be discussed in class:</w:t>
      </w:r>
    </w:p>
    <w:p w:rsidR="008A4B6A" w:rsidRDefault="008A4B6A">
      <w:pPr>
        <w:contextualSpacing w:val="0"/>
        <w:rPr>
          <w:sz w:val="28"/>
          <w:szCs w:val="28"/>
        </w:rPr>
      </w:pPr>
    </w:p>
    <w:p w:rsidR="008A4B6A" w:rsidRDefault="00E60D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Dolly Shots</w:t>
      </w:r>
    </w:p>
    <w:p w:rsidR="008A4B6A" w:rsidRDefault="00E60D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Cuts</w:t>
      </w:r>
    </w:p>
    <w:p w:rsidR="008A4B6A" w:rsidRDefault="00E60D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Fades</w:t>
      </w:r>
    </w:p>
    <w:p w:rsidR="008A4B6A" w:rsidRDefault="00E60D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Dutch Angles</w:t>
      </w:r>
    </w:p>
    <w:p w:rsidR="008A4B6A" w:rsidRDefault="00E60D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Cinematography</w:t>
      </w:r>
    </w:p>
    <w:p w:rsidR="008A4B6A" w:rsidRDefault="008A4B6A">
      <w:pPr>
        <w:contextualSpacing w:val="0"/>
        <w:rPr>
          <w:sz w:val="28"/>
          <w:szCs w:val="28"/>
        </w:rPr>
      </w:pPr>
    </w:p>
    <w:p w:rsidR="008A4B6A" w:rsidRDefault="00E60DD9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Below is a list of the movies and themes that will be explored in class:</w:t>
      </w:r>
    </w:p>
    <w:p w:rsidR="008A4B6A" w:rsidRDefault="008A4B6A">
      <w:pPr>
        <w:contextualSpacing w:val="0"/>
        <w:rPr>
          <w:sz w:val="28"/>
          <w:szCs w:val="28"/>
        </w:rPr>
      </w:pPr>
    </w:p>
    <w:p w:rsidR="008A4B6A" w:rsidRDefault="00E60D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Back to the Future- </w:t>
      </w:r>
      <w:r>
        <w:rPr>
          <w:sz w:val="28"/>
          <w:szCs w:val="28"/>
        </w:rPr>
        <w:t>Narrative Storytelling</w:t>
      </w:r>
    </w:p>
    <w:p w:rsidR="008A4B6A" w:rsidRDefault="00E60D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Black Panther - Cinematography</w:t>
      </w:r>
    </w:p>
    <w:p w:rsidR="008A4B6A" w:rsidRDefault="00E60D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Spirited Away - Animation, and storyboarding</w:t>
      </w:r>
    </w:p>
    <w:p w:rsidR="008A4B6A" w:rsidRDefault="00E60D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Brother Where </w:t>
      </w: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 Thou? - Adaptation of other media to film</w:t>
      </w:r>
    </w:p>
    <w:p w:rsidR="008A4B6A" w:rsidRDefault="008A4B6A">
      <w:pPr>
        <w:contextualSpacing w:val="0"/>
        <w:rPr>
          <w:sz w:val="28"/>
          <w:szCs w:val="28"/>
        </w:rPr>
      </w:pPr>
    </w:p>
    <w:p w:rsidR="008A4B6A" w:rsidRDefault="00E60DD9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Class Expectations</w:t>
      </w:r>
    </w:p>
    <w:p w:rsidR="008A4B6A" w:rsidRDefault="00E60D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attentive, and focused on assignment or film</w:t>
      </w:r>
    </w:p>
    <w:p w:rsidR="008A4B6A" w:rsidRDefault="00E60D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Come to class prepared with a pencil, and film notes, workbook </w:t>
      </w:r>
    </w:p>
    <w:p w:rsidR="008A4B6A" w:rsidRDefault="00E60D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up after yourself</w:t>
      </w:r>
    </w:p>
    <w:p w:rsidR="008A4B6A" w:rsidRDefault="00E60D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Keep the volume down when working upon assignments</w:t>
      </w:r>
    </w:p>
    <w:p w:rsidR="008A4B6A" w:rsidRDefault="008A4B6A">
      <w:pPr>
        <w:contextualSpacing w:val="0"/>
        <w:rPr>
          <w:sz w:val="28"/>
          <w:szCs w:val="28"/>
        </w:rPr>
      </w:pPr>
    </w:p>
    <w:p w:rsidR="008A4B6A" w:rsidRDefault="00E60DD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NOTE ON CTF ASSESSMENT PRACTICES:</w:t>
      </w:r>
    </w:p>
    <w:p w:rsidR="008A4B6A" w:rsidRDefault="00E60DD9">
      <w:pPr>
        <w:spacing w:after="20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  <w:sectPr w:rsidR="008A4B6A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assessment plan supports the understanding that not all students learn the same way and at the same pace. The assessment practices serve a number of purposes, including: 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assess student achievement of learning outcomes 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provide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descriptors 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personalize assessment 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differentiate instruction 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 effective learning activities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determine a student’s background knowledge and skills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identify student strengths</w:t>
      </w:r>
    </w:p>
    <w:p w:rsidR="008A4B6A" w:rsidRDefault="00E60D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4B6A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determine a student’s next learning steps</w:t>
      </w:r>
    </w:p>
    <w:p w:rsidR="008A4B6A" w:rsidRDefault="008A4B6A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15"/>
      </w:tblGrid>
      <w:tr w:rsidR="008A4B6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B6A" w:rsidRDefault="00E60DD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8A4B6A" w:rsidRDefault="00E60DD9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A4B6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B6A" w:rsidRDefault="00E60DD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8A4B6A" w:rsidRDefault="00E60DD9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in-depth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independent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8A4B6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B6A" w:rsidRDefault="00E60DD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8A4B6A" w:rsidRDefault="00E60DD9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occasionally guided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8A4B6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B6A" w:rsidRDefault="00E60DD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8A4B6A" w:rsidRDefault="00E60DD9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generally accurate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8A4B6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B6A" w:rsidRDefault="00E60DD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8A4B6A" w:rsidRDefault="00E60DD9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outcomes; evidence shows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inaccurate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ongoing support is 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work.</w:t>
            </w:r>
          </w:p>
        </w:tc>
      </w:tr>
      <w:tr w:rsidR="008A4B6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B6A" w:rsidRDefault="00E60DD9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8A4B6A" w:rsidRDefault="00E60DD9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show the student has 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acceptable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performance of the outcome(s).  The work must be improved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resubmitted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4B6A" w:rsidRDefault="008A4B6A">
      <w:pPr>
        <w:contextualSpacing w:val="0"/>
        <w:rPr>
          <w:rFonts w:ascii="Times New Roman" w:eastAsia="Times New Roman" w:hAnsi="Times New Roman" w:cs="Times New Roman"/>
        </w:rPr>
      </w:pPr>
    </w:p>
    <w:p w:rsidR="008A4B6A" w:rsidRDefault="00E60DD9">
      <w:pPr>
        <w:spacing w:after="200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4B6A" w:rsidRDefault="008A4B6A">
      <w:pPr>
        <w:contextualSpacing w:val="0"/>
        <w:rPr>
          <w:sz w:val="28"/>
          <w:szCs w:val="28"/>
        </w:rPr>
      </w:pPr>
    </w:p>
    <w:sectPr w:rsidR="008A4B6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D9" w:rsidRDefault="00E60DD9">
      <w:pPr>
        <w:spacing w:line="240" w:lineRule="auto"/>
      </w:pPr>
      <w:r>
        <w:separator/>
      </w:r>
    </w:p>
  </w:endnote>
  <w:endnote w:type="continuationSeparator" w:id="0">
    <w:p w:rsidR="00E60DD9" w:rsidRDefault="00E60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D9" w:rsidRDefault="00E60DD9">
      <w:pPr>
        <w:spacing w:line="240" w:lineRule="auto"/>
      </w:pPr>
      <w:r>
        <w:separator/>
      </w:r>
    </w:p>
  </w:footnote>
  <w:footnote w:type="continuationSeparator" w:id="0">
    <w:p w:rsidR="00E60DD9" w:rsidRDefault="00E60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6A" w:rsidRDefault="008A4B6A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553"/>
    <w:multiLevelType w:val="multilevel"/>
    <w:tmpl w:val="9B08F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E877AF"/>
    <w:multiLevelType w:val="multilevel"/>
    <w:tmpl w:val="AC48E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DD389B"/>
    <w:multiLevelType w:val="multilevel"/>
    <w:tmpl w:val="7CF079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3D2E0E"/>
    <w:multiLevelType w:val="multilevel"/>
    <w:tmpl w:val="25E2B1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701412"/>
    <w:multiLevelType w:val="multilevel"/>
    <w:tmpl w:val="45588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A"/>
    <w:rsid w:val="008A4B6A"/>
    <w:rsid w:val="00B6377E"/>
    <w:rsid w:val="00E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3AB08-2910-47C7-8B45-B6E2A78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Erickson</dc:creator>
  <cp:lastModifiedBy>Dale Erickson</cp:lastModifiedBy>
  <cp:revision>2</cp:revision>
  <dcterms:created xsi:type="dcterms:W3CDTF">2018-11-19T17:23:00Z</dcterms:created>
  <dcterms:modified xsi:type="dcterms:W3CDTF">2018-11-19T17:23:00Z</dcterms:modified>
</cp:coreProperties>
</file>